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3AFAC" w14:textId="77777777" w:rsidR="00E021CA" w:rsidRPr="00E021CA" w:rsidRDefault="00E021CA" w:rsidP="00E021C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F575C"/>
          <w:sz w:val="45"/>
          <w:szCs w:val="45"/>
          <w:lang w:eastAsia="ru-RU"/>
        </w:rPr>
      </w:pPr>
      <w:r w:rsidRPr="00E021CA">
        <w:rPr>
          <w:rFonts w:ascii="Arial" w:eastAsia="Times New Roman" w:hAnsi="Arial" w:cs="Arial"/>
          <w:color w:val="4F575C"/>
          <w:sz w:val="45"/>
          <w:szCs w:val="45"/>
          <w:lang w:eastAsia="ru-RU"/>
        </w:rPr>
        <w:t>Международный молодежный конкурс социальной антикоррупционной рекламы «Вместе против коррупции!»</w:t>
      </w:r>
    </w:p>
    <w:p w14:paraId="19B48A86" w14:textId="77777777" w:rsidR="00E021CA" w:rsidRPr="00E021CA" w:rsidRDefault="00E021CA" w:rsidP="00E021C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E021CA">
        <w:rPr>
          <w:rFonts w:ascii="Arial" w:eastAsia="Times New Roman" w:hAnsi="Arial" w:cs="Arial"/>
          <w:noProof/>
          <w:color w:val="4F575C"/>
          <w:sz w:val="21"/>
          <w:szCs w:val="21"/>
          <w:lang w:eastAsia="ru-RU"/>
        </w:rPr>
        <w:drawing>
          <wp:inline distT="0" distB="0" distL="0" distR="0" wp14:anchorId="18080449" wp14:editId="06992124">
            <wp:extent cx="2095500" cy="2095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2FFBC" w14:textId="77777777" w:rsidR="00E021CA" w:rsidRPr="00E021CA" w:rsidRDefault="00E021CA" w:rsidP="00E021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E021CA">
        <w:rPr>
          <w:rFonts w:eastAsia="Times New Roman" w:cs="Calibri"/>
          <w:color w:val="4F575C"/>
          <w:sz w:val="28"/>
          <w:szCs w:val="28"/>
          <w:lang w:eastAsia="ru-RU"/>
        </w:rPr>
        <w:t xml:space="preserve"> Приглашаем принять участие в ставшем уже традиционным Международном молодежном конкурсе социальной антикоррупционной рекламы «Вместе против коррупции!», который организован Генеральной прокуратурой Российской </w:t>
      </w:r>
      <w:proofErr w:type="spellStart"/>
      <w:r w:rsidRPr="00E021CA">
        <w:rPr>
          <w:rFonts w:eastAsia="Times New Roman" w:cs="Calibri"/>
          <w:color w:val="4F575C"/>
          <w:sz w:val="28"/>
          <w:szCs w:val="28"/>
          <w:lang w:eastAsia="ru-RU"/>
        </w:rPr>
        <w:t>Федерации.Целями</w:t>
      </w:r>
      <w:proofErr w:type="spellEnd"/>
      <w:r w:rsidRPr="00E021CA">
        <w:rPr>
          <w:rFonts w:eastAsia="Times New Roman" w:cs="Calibri"/>
          <w:color w:val="4F575C"/>
          <w:sz w:val="28"/>
          <w:szCs w:val="28"/>
          <w:lang w:eastAsia="ru-RU"/>
        </w:rPr>
        <w:t xml:space="preserve"> конкурса являются создание условий для творческого самовыражения детей и молодежи, повышение уровня их правосознания и популяризации антикоррупционных стандартов.</w:t>
      </w:r>
    </w:p>
    <w:p w14:paraId="4589ACF5" w14:textId="77777777" w:rsidR="00E021CA" w:rsidRPr="00E021CA" w:rsidRDefault="00E021CA" w:rsidP="00E021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E021CA">
        <w:rPr>
          <w:rFonts w:eastAsia="Times New Roman" w:cs="Calibri"/>
          <w:color w:val="4F575C"/>
          <w:sz w:val="28"/>
          <w:szCs w:val="28"/>
          <w:lang w:eastAsia="ru-RU"/>
        </w:rPr>
        <w:t>  Конкурс будет проходить в трех номинациях: «Лучший плакат», «Лучший рисунок» и «Лучший видеоролик».</w:t>
      </w:r>
    </w:p>
    <w:p w14:paraId="4DBD0ECA" w14:textId="77777777" w:rsidR="00E021CA" w:rsidRPr="00E021CA" w:rsidRDefault="00E021CA" w:rsidP="00E021C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E021CA">
        <w:rPr>
          <w:rFonts w:eastAsia="Times New Roman" w:cs="Calibri"/>
          <w:color w:val="4F575C"/>
          <w:sz w:val="28"/>
          <w:szCs w:val="28"/>
          <w:lang w:eastAsia="ru-RU"/>
        </w:rPr>
        <w:t>  К участию приглашаются молодые люди в возрасте от 10 до 25 лет. Прием конкурсных работ осуществляется на сайте конкурса </w:t>
      </w:r>
      <w:hyperlink r:id="rId5" w:history="1">
        <w:r w:rsidRPr="00E021CA">
          <w:rPr>
            <w:rFonts w:eastAsia="Times New Roman" w:cs="Calibri"/>
            <w:color w:val="0000FF"/>
            <w:sz w:val="28"/>
            <w:szCs w:val="28"/>
            <w:u w:val="single"/>
            <w:lang w:eastAsia="ru-RU"/>
          </w:rPr>
          <w:t>www.anticorruption.life</w:t>
        </w:r>
      </w:hyperlink>
      <w:r w:rsidRPr="00E021CA">
        <w:rPr>
          <w:rFonts w:eastAsia="Times New Roman" w:cs="Calibri"/>
          <w:color w:val="4F575C"/>
          <w:sz w:val="28"/>
          <w:szCs w:val="28"/>
          <w:lang w:eastAsia="ru-RU"/>
        </w:rPr>
        <w:t>  до 1 октября 2024 года, где также размещены правила его проведения, регламентирующие условия участия и критерии оценки работ.</w:t>
      </w:r>
    </w:p>
    <w:p w14:paraId="68ED48C7" w14:textId="77777777" w:rsidR="00E021CA" w:rsidRPr="00E021CA" w:rsidRDefault="00E021CA" w:rsidP="00E021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E021CA">
        <w:rPr>
          <w:rFonts w:eastAsia="Times New Roman" w:cs="Calibri"/>
          <w:color w:val="4F575C"/>
          <w:sz w:val="28"/>
          <w:szCs w:val="28"/>
          <w:lang w:eastAsia="ru-RU"/>
        </w:rPr>
        <w:t>Правила проведения конкурса доступны на указанном сайте на английском, арабском, испанском, китайском, русском и французском языках.</w:t>
      </w:r>
    </w:p>
    <w:p w14:paraId="720DDB9F" w14:textId="77777777" w:rsidR="00E021CA" w:rsidRPr="00E021CA" w:rsidRDefault="00E021CA" w:rsidP="00E021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E021CA">
        <w:rPr>
          <w:rFonts w:eastAsia="Times New Roman" w:cs="Calibri"/>
          <w:color w:val="4F575C"/>
          <w:sz w:val="28"/>
          <w:szCs w:val="28"/>
          <w:lang w:eastAsia="ru-RU"/>
        </w:rPr>
        <w:t>Подведение итогов конкурса приурочено к Международному дню борьбы с коррупцией (9 декабря 2024 года).</w:t>
      </w:r>
    </w:p>
    <w:p w14:paraId="18AF6118" w14:textId="77777777" w:rsidR="00E021CA" w:rsidRPr="00E021CA" w:rsidRDefault="00E021CA" w:rsidP="00E021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E021CA">
        <w:rPr>
          <w:rFonts w:eastAsia="Times New Roman" w:cs="Calibri"/>
          <w:color w:val="4F575C"/>
          <w:sz w:val="28"/>
          <w:szCs w:val="28"/>
          <w:lang w:eastAsia="ru-RU"/>
        </w:rPr>
        <w:t>Конкурсные работы – антикоррупционные плакаты, рисунки и видеоролики – впоследствии используются в качестве социальной антикоррупционной рекламы, демонстрируются на многочисленных выставках, в том числе на международных площадках.</w:t>
      </w:r>
    </w:p>
    <w:p w14:paraId="1B2C92CA" w14:textId="77777777" w:rsidR="00E021CA" w:rsidRPr="00E021CA" w:rsidRDefault="00E021CA" w:rsidP="00E021C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E021CA">
        <w:rPr>
          <w:rFonts w:eastAsia="Times New Roman" w:cs="Calibri"/>
          <w:color w:val="4F575C"/>
          <w:sz w:val="28"/>
          <w:szCs w:val="28"/>
          <w:lang w:eastAsia="ru-RU"/>
        </w:rPr>
        <w:t>Информация о конкурсе также опубликована на сайте Генеральной прокуратуры Российской Федерации (</w:t>
      </w:r>
      <w:hyperlink r:id="rId6" w:history="1">
        <w:r w:rsidRPr="00E021CA">
          <w:rPr>
            <w:rFonts w:eastAsia="Times New Roman" w:cs="Calibri"/>
            <w:color w:val="0000FF"/>
            <w:sz w:val="28"/>
            <w:szCs w:val="28"/>
            <w:u w:val="single"/>
            <w:lang w:eastAsia="ru-RU"/>
          </w:rPr>
          <w:t>https://epp.genproc.gov.ru/web/gprf/search?article=94670954</w:t>
        </w:r>
      </w:hyperlink>
      <w:r w:rsidRPr="00E021CA">
        <w:rPr>
          <w:rFonts w:eastAsia="Times New Roman" w:cs="Calibri"/>
          <w:color w:val="4F575C"/>
          <w:sz w:val="28"/>
          <w:szCs w:val="28"/>
          <w:lang w:eastAsia="ru-RU"/>
        </w:rPr>
        <w:t>).</w:t>
      </w:r>
    </w:p>
    <w:p w14:paraId="4FE0DB3B" w14:textId="77777777" w:rsidR="005C284B" w:rsidRDefault="005C284B"/>
    <w:sectPr w:rsidR="005C284B" w:rsidSect="00E021C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CA"/>
    <w:rsid w:val="005C284B"/>
    <w:rsid w:val="00E0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DCCF"/>
  <w15:chartTrackingRefBased/>
  <w15:docId w15:val="{CE07842E-8D8C-40EC-99D4-D4501935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1007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2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p.genproc.gov.ru/web/gprf/search?article=94670954" TargetMode="External"/><Relationship Id="rId5" Type="http://schemas.openxmlformats.org/officeDocument/2006/relationships/hyperlink" Target="http://www.anticorruption.lif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Алексеевна</dc:creator>
  <cp:keywords/>
  <dc:description/>
  <cp:lastModifiedBy>Смирнова Юлия Алексеевна</cp:lastModifiedBy>
  <cp:revision>1</cp:revision>
  <dcterms:created xsi:type="dcterms:W3CDTF">2024-08-27T08:47:00Z</dcterms:created>
  <dcterms:modified xsi:type="dcterms:W3CDTF">2024-08-27T08:48:00Z</dcterms:modified>
</cp:coreProperties>
</file>